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1F" w:rsidRPr="00E7791F" w:rsidRDefault="00E7791F" w:rsidP="00E7791F">
      <w:pPr>
        <w:autoSpaceDE w:val="0"/>
        <w:autoSpaceDN w:val="0"/>
        <w:adjustRightInd w:val="0"/>
        <w:ind w:firstLine="540"/>
        <w:jc w:val="center"/>
        <w:outlineLvl w:val="0"/>
        <w:rPr>
          <w:rFonts w:eastAsiaTheme="minorHAnsi"/>
          <w:i/>
          <w:sz w:val="30"/>
          <w:szCs w:val="30"/>
          <w:u w:val="single"/>
          <w:lang w:eastAsia="en-US"/>
        </w:rPr>
      </w:pPr>
      <w:r w:rsidRPr="00E7791F">
        <w:rPr>
          <w:rFonts w:eastAsiaTheme="minorHAnsi"/>
          <w:b/>
          <w:bCs/>
          <w:i/>
          <w:sz w:val="30"/>
          <w:szCs w:val="30"/>
          <w:u w:val="single"/>
          <w:lang w:eastAsia="en-US"/>
        </w:rPr>
        <w:t>Статья 285. Льготы по государственной пошлине</w:t>
      </w:r>
    </w:p>
    <w:p w:rsidR="00E7791F" w:rsidRDefault="00E7791F" w:rsidP="00E7791F">
      <w:pPr>
        <w:pStyle w:val="a3"/>
        <w:spacing w:line="360" w:lineRule="auto"/>
        <w:ind w:firstLine="708"/>
        <w:rPr>
          <w:rFonts w:ascii="Times New Roman" w:hAnsi="Times New Roman"/>
          <w:sz w:val="28"/>
          <w:szCs w:val="28"/>
        </w:rPr>
      </w:pPr>
    </w:p>
    <w:p w:rsidR="00E7791F" w:rsidRDefault="00E7791F" w:rsidP="00E7791F">
      <w:pPr>
        <w:pStyle w:val="p-normal"/>
        <w:shd w:val="clear" w:color="auto" w:fill="FFFFFF"/>
        <w:spacing w:before="0" w:beforeAutospacing="0" w:after="0" w:afterAutospacing="0"/>
        <w:ind w:firstLine="709"/>
        <w:jc w:val="both"/>
        <w:rPr>
          <w:rStyle w:val="h-normal"/>
          <w:color w:val="000000" w:themeColor="text1"/>
          <w:sz w:val="28"/>
          <w:szCs w:val="28"/>
        </w:rPr>
      </w:pPr>
      <w:r w:rsidRPr="009F4ACA">
        <w:rPr>
          <w:rStyle w:val="h-normal"/>
          <w:b/>
          <w:color w:val="000000" w:themeColor="text1"/>
          <w:sz w:val="28"/>
          <w:szCs w:val="28"/>
        </w:rPr>
        <w:t>10.</w:t>
      </w:r>
      <w:r w:rsidRPr="009F4ACA">
        <w:rPr>
          <w:rStyle w:val="h-normal"/>
          <w:color w:val="000000" w:themeColor="text1"/>
          <w:sz w:val="28"/>
          <w:szCs w:val="28"/>
        </w:rPr>
        <w:t xml:space="preserve"> </w:t>
      </w:r>
      <w:r w:rsidRPr="009F4ACA">
        <w:rPr>
          <w:rStyle w:val="h-normal"/>
          <w:b/>
          <w:color w:val="000000" w:themeColor="text1"/>
          <w:sz w:val="28"/>
          <w:szCs w:val="28"/>
        </w:rPr>
        <w:t xml:space="preserve">Освобождаются </w:t>
      </w:r>
      <w:r w:rsidRPr="009F4ACA">
        <w:rPr>
          <w:rStyle w:val="h-normal"/>
          <w:color w:val="000000" w:themeColor="text1"/>
          <w:sz w:val="28"/>
          <w:szCs w:val="28"/>
        </w:rPr>
        <w:t>от государственной пошлины при совершении иных юридически значимых действий:</w:t>
      </w:r>
    </w:p>
    <w:p w:rsidR="002F51E8" w:rsidRPr="002F51E8" w:rsidRDefault="002F51E8" w:rsidP="002F51E8">
      <w:pPr>
        <w:pStyle w:val="underpoint"/>
        <w:rPr>
          <w:sz w:val="28"/>
          <w:szCs w:val="28"/>
        </w:rPr>
      </w:pPr>
      <w:r w:rsidRPr="002F51E8">
        <w:rPr>
          <w:b/>
          <w:sz w:val="28"/>
          <w:szCs w:val="28"/>
        </w:rPr>
        <w:t>10.1.</w:t>
      </w:r>
      <w:r w:rsidRPr="002F51E8">
        <w:rPr>
          <w:sz w:val="28"/>
          <w:szCs w:val="28"/>
        </w:rPr>
        <w:t> коммерческая организация,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w:t>
      </w:r>
    </w:p>
    <w:p w:rsidR="00E7791F" w:rsidRPr="009F4ACA" w:rsidRDefault="00E7791F" w:rsidP="00E7791F">
      <w:pPr>
        <w:pStyle w:val="p-normal"/>
        <w:shd w:val="clear" w:color="auto" w:fill="FFFFFF"/>
        <w:spacing w:before="0" w:beforeAutospacing="0" w:after="0" w:afterAutospacing="0"/>
        <w:ind w:firstLine="709"/>
        <w:jc w:val="both"/>
        <w:rPr>
          <w:color w:val="000000" w:themeColor="text1"/>
          <w:sz w:val="28"/>
          <w:szCs w:val="28"/>
        </w:rPr>
      </w:pPr>
      <w:r w:rsidRPr="009F4ACA">
        <w:rPr>
          <w:rStyle w:val="h-normal"/>
          <w:b/>
          <w:color w:val="000000" w:themeColor="text1"/>
          <w:sz w:val="28"/>
          <w:szCs w:val="28"/>
        </w:rPr>
        <w:t>10.2.</w:t>
      </w:r>
      <w:r w:rsidRPr="009F4ACA">
        <w:rPr>
          <w:rStyle w:val="h-normal"/>
          <w:color w:val="000000" w:themeColor="text1"/>
          <w:sz w:val="28"/>
          <w:szCs w:val="28"/>
        </w:rPr>
        <w:t xml:space="preserve"> физическое лицо, состоящее на учете в органе по труду, занятости и социальной защите в качестве безработного, физическое лицо, получающее в дневной форме получения образования общее среднее, специальное, профессионально-техническое, среднее специальное, высшее образование, физическое лицо, получившее в дневной форме получения образования указанное образование, в течение года после его получения, за его государственную регистрацию в качестве индивидуального предпринимателя;</w:t>
      </w:r>
    </w:p>
    <w:p w:rsidR="00E7791F" w:rsidRPr="009F4ACA" w:rsidRDefault="00E7791F" w:rsidP="00E7791F">
      <w:pPr>
        <w:pStyle w:val="p-normal"/>
        <w:shd w:val="clear" w:color="auto" w:fill="FFFFFF"/>
        <w:spacing w:before="0" w:beforeAutospacing="0" w:after="0" w:afterAutospacing="0"/>
        <w:ind w:firstLine="709"/>
        <w:jc w:val="both"/>
        <w:rPr>
          <w:color w:val="000000" w:themeColor="text1"/>
          <w:sz w:val="28"/>
          <w:szCs w:val="28"/>
        </w:rPr>
      </w:pPr>
      <w:r w:rsidRPr="009F4ACA">
        <w:rPr>
          <w:rStyle w:val="h-normal"/>
          <w:b/>
          <w:color w:val="000000" w:themeColor="text1"/>
          <w:sz w:val="28"/>
          <w:szCs w:val="28"/>
        </w:rPr>
        <w:t>10.3.</w:t>
      </w:r>
      <w:r w:rsidRPr="009F4ACA">
        <w:rPr>
          <w:rStyle w:val="h-normal"/>
          <w:color w:val="000000" w:themeColor="text1"/>
          <w:sz w:val="28"/>
          <w:szCs w:val="28"/>
        </w:rPr>
        <w:t xml:space="preserve">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веб-портала Единого государственного регистра юридических лиц и индивидуальных предпринимателей;</w:t>
      </w:r>
    </w:p>
    <w:p w:rsidR="00E7791F" w:rsidRDefault="00E7791F" w:rsidP="00E7791F">
      <w:pPr>
        <w:pStyle w:val="p-normal"/>
        <w:shd w:val="clear" w:color="auto" w:fill="FFFFFF"/>
        <w:spacing w:before="0" w:beforeAutospacing="0" w:after="0" w:afterAutospacing="0"/>
        <w:ind w:firstLine="709"/>
        <w:jc w:val="both"/>
        <w:rPr>
          <w:rStyle w:val="h-normal"/>
          <w:color w:val="000000" w:themeColor="text1"/>
          <w:sz w:val="28"/>
          <w:szCs w:val="28"/>
        </w:rPr>
      </w:pPr>
      <w:r w:rsidRPr="009F4ACA">
        <w:rPr>
          <w:rStyle w:val="h-normal"/>
          <w:b/>
          <w:color w:val="000000" w:themeColor="text1"/>
          <w:sz w:val="28"/>
          <w:szCs w:val="28"/>
        </w:rPr>
        <w:t>10.4</w:t>
      </w:r>
      <w:r w:rsidRPr="009F4ACA">
        <w:rPr>
          <w:rStyle w:val="h-normal"/>
          <w:color w:val="000000" w:themeColor="text1"/>
          <w:sz w:val="28"/>
          <w:szCs w:val="28"/>
        </w:rPr>
        <w:t>. плательщики за государственную регистрацию изменений и (или) дополнений в их уставы (учредительные договоры – для коммерческих организаций, действующих только на основании учредительных договоров) и изменений, внесенных в свидетельства о государственной регистрации индивидуальных предпринимателей, в случае изменения законодательства, согласно которому требуется внесение изменений и (или) дополнений в эти документы;</w:t>
      </w:r>
    </w:p>
    <w:p w:rsidR="005F7343" w:rsidRDefault="005F7343" w:rsidP="00BA21C5">
      <w:pPr>
        <w:pStyle w:val="underpoint"/>
        <w:ind w:firstLine="709"/>
        <w:rPr>
          <w:sz w:val="28"/>
          <w:szCs w:val="28"/>
        </w:rPr>
      </w:pPr>
      <w:r w:rsidRPr="005F7343">
        <w:rPr>
          <w:b/>
          <w:sz w:val="28"/>
          <w:szCs w:val="28"/>
        </w:rPr>
        <w:t>10.5.</w:t>
      </w:r>
      <w:r w:rsidRPr="005F7343">
        <w:rPr>
          <w:sz w:val="28"/>
          <w:szCs w:val="28"/>
        </w:rPr>
        <w:t> средство массовой информации, а также издатель, изготовитель и распространитель печатных изданий за перерегистрацию в связи с изменением законодательства;</w:t>
      </w:r>
    </w:p>
    <w:p w:rsidR="00BA21C5" w:rsidRPr="00BA21C5" w:rsidRDefault="00BA21C5" w:rsidP="00BA21C5">
      <w:pPr>
        <w:pStyle w:val="underpoint"/>
        <w:ind w:firstLine="709"/>
        <w:rPr>
          <w:sz w:val="28"/>
          <w:szCs w:val="28"/>
        </w:rPr>
      </w:pPr>
      <w:r w:rsidRPr="00BA21C5">
        <w:rPr>
          <w:b/>
          <w:sz w:val="28"/>
          <w:szCs w:val="28"/>
        </w:rPr>
        <w:t>10.6.</w:t>
      </w:r>
      <w:r>
        <w:t> </w:t>
      </w:r>
      <w:r w:rsidRPr="00BA21C5">
        <w:rPr>
          <w:sz w:val="28"/>
          <w:szCs w:val="28"/>
        </w:rPr>
        <w:t>политические партии, профессиональные союзы, иные общественные объединения, их союзы (ассоциации), республиканские государственно-общественные объединения за их перерегистрацию и перерегистрацию их символики в связи с изменением законодательства;</w:t>
      </w:r>
    </w:p>
    <w:p w:rsidR="00BA21C5" w:rsidRPr="00BA21C5" w:rsidRDefault="00BA21C5" w:rsidP="00BA21C5">
      <w:pPr>
        <w:pStyle w:val="underpoint"/>
        <w:ind w:firstLine="709"/>
        <w:rPr>
          <w:sz w:val="28"/>
          <w:szCs w:val="28"/>
        </w:rPr>
      </w:pPr>
      <w:r w:rsidRPr="00BA21C5">
        <w:rPr>
          <w:b/>
          <w:sz w:val="28"/>
          <w:szCs w:val="28"/>
        </w:rPr>
        <w:t>10.7.</w:t>
      </w:r>
      <w:r w:rsidRPr="00BA21C5">
        <w:rPr>
          <w:sz w:val="28"/>
          <w:szCs w:val="28"/>
        </w:rPr>
        <w:t> республиканские и местные молодежные и детские общественные объединения, общественные объединения ветеранов Великой Отечественной войны, их союзы (ассоциации) за их государственную регистрацию, государственную регистрацию их символики, изменений и (или) дополнений, внесенных в их уставы, выдачу дубликата свидетельства их государственной регистрации, а также дубликата устава с отметками об их государственной регистрации, государственную регистрацию, постановку на учет их организационных структур;</w:t>
      </w:r>
    </w:p>
    <w:p w:rsidR="00BA21C5" w:rsidRPr="00BA21C5" w:rsidRDefault="00BA21C5" w:rsidP="00BA21C5">
      <w:pPr>
        <w:pStyle w:val="underpoint"/>
        <w:ind w:firstLine="709"/>
        <w:rPr>
          <w:sz w:val="28"/>
          <w:szCs w:val="28"/>
        </w:rPr>
      </w:pPr>
      <w:r w:rsidRPr="00BA21C5">
        <w:rPr>
          <w:b/>
          <w:sz w:val="28"/>
          <w:szCs w:val="28"/>
        </w:rPr>
        <w:t>10.8.</w:t>
      </w:r>
      <w:r w:rsidRPr="00BA21C5">
        <w:rPr>
          <w:sz w:val="28"/>
          <w:szCs w:val="28"/>
        </w:rPr>
        <w:t> международный фонд за государственную регистрацию изменений и (или) дополнений, внесенных в устав фонда в связи с созданием представительств и (или) филиалов на территории одного или нескольких иностранных государств в течение шести месяцев со дня государственной регистрации указанного фонда;</w:t>
      </w:r>
    </w:p>
    <w:p w:rsidR="00BA21C5" w:rsidRPr="00BA21C5" w:rsidRDefault="00BA21C5" w:rsidP="00BA21C5">
      <w:pPr>
        <w:pStyle w:val="underpoint"/>
        <w:ind w:firstLine="709"/>
        <w:rPr>
          <w:sz w:val="28"/>
          <w:szCs w:val="28"/>
        </w:rPr>
      </w:pPr>
      <w:r w:rsidRPr="00BA21C5">
        <w:rPr>
          <w:b/>
          <w:sz w:val="28"/>
          <w:szCs w:val="28"/>
        </w:rPr>
        <w:lastRenderedPageBreak/>
        <w:t>10.9.</w:t>
      </w:r>
      <w:r w:rsidRPr="00BA21C5">
        <w:rPr>
          <w:sz w:val="28"/>
          <w:szCs w:val="28"/>
        </w:rPr>
        <w:t> республиканский фонд за государственную регистрацию изменений и (или) дополнений, внесенных в устав фонда в связи с созданием представительств и (или) филиалов в областях и городе Минске в течение шести месяцев со дня государственной регистрации указанного фонда;</w:t>
      </w:r>
    </w:p>
    <w:p w:rsidR="00BA21C5" w:rsidRPr="00BA21C5" w:rsidRDefault="00BA21C5" w:rsidP="00BA21C5">
      <w:pPr>
        <w:pStyle w:val="underpoint"/>
        <w:ind w:firstLine="709"/>
        <w:rPr>
          <w:rStyle w:val="h-normal"/>
          <w:sz w:val="28"/>
          <w:szCs w:val="28"/>
        </w:rPr>
      </w:pPr>
      <w:r w:rsidRPr="00BA21C5">
        <w:rPr>
          <w:b/>
          <w:sz w:val="28"/>
          <w:szCs w:val="28"/>
        </w:rPr>
        <w:t>10.10. </w:t>
      </w:r>
      <w:r w:rsidRPr="00BA21C5">
        <w:rPr>
          <w:sz w:val="28"/>
          <w:szCs w:val="28"/>
        </w:rPr>
        <w:t>организации Республики Беларусь, имеющие специальные разрешения (лицензии) на фармацевтическую деятельность, за государственную регистрацию фармацевтических субстанций зарубежного производства;</w:t>
      </w:r>
    </w:p>
    <w:p w:rsidR="0081764F" w:rsidRDefault="009449F7" w:rsidP="00E7791F">
      <w:pPr>
        <w:pStyle w:val="p-normal"/>
        <w:shd w:val="clear" w:color="auto" w:fill="FFFFFF"/>
        <w:spacing w:before="0" w:beforeAutospacing="0" w:after="0" w:afterAutospacing="0"/>
        <w:ind w:firstLine="709"/>
        <w:jc w:val="both"/>
        <w:rPr>
          <w:color w:val="000000" w:themeColor="text1"/>
          <w:sz w:val="28"/>
          <w:szCs w:val="28"/>
          <w:shd w:val="clear" w:color="auto" w:fill="FFFFFF"/>
        </w:rPr>
      </w:pPr>
      <w:r w:rsidRPr="009F4ACA">
        <w:rPr>
          <w:b/>
          <w:color w:val="000000" w:themeColor="text1"/>
          <w:sz w:val="28"/>
          <w:szCs w:val="28"/>
          <w:shd w:val="clear" w:color="auto" w:fill="FFFFFF"/>
        </w:rPr>
        <w:t>10.24.</w:t>
      </w:r>
      <w:r w:rsidRPr="009F4ACA">
        <w:rPr>
          <w:color w:val="000000" w:themeColor="text1"/>
          <w:sz w:val="28"/>
          <w:szCs w:val="28"/>
          <w:shd w:val="clear" w:color="auto" w:fill="FFFFFF"/>
        </w:rPr>
        <w:t xml:space="preserve"> физическое лицо по запросам о предоставлении информации, содержащейся в Едином государственном регистре юридических лиц и индивидуальных предпринимателей, а также в реестре специальных разрешений (лицензий),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сети Интернет) информации о физических лицах в целях их знакомства, деятельность по оказанию психологической помощи, а также по запросам о предоставлении информации, содержащейся в Едином государственном регистре юридических лиц и индивидуальных предпринимателей, в целях защиты прав потребителей, начисления пенсий, социальных пособий и иных социальных выплат;</w:t>
      </w:r>
    </w:p>
    <w:p w:rsidR="00503275" w:rsidRPr="00503275" w:rsidRDefault="00503275" w:rsidP="00E7791F">
      <w:pPr>
        <w:pStyle w:val="p-normal"/>
        <w:shd w:val="clear" w:color="auto" w:fill="FFFFFF"/>
        <w:spacing w:before="0" w:beforeAutospacing="0" w:after="0" w:afterAutospacing="0"/>
        <w:ind w:firstLine="709"/>
        <w:jc w:val="both"/>
        <w:rPr>
          <w:rStyle w:val="h-normal"/>
          <w:sz w:val="28"/>
          <w:szCs w:val="28"/>
        </w:rPr>
      </w:pPr>
      <w:r w:rsidRPr="00503275">
        <w:rPr>
          <w:b/>
          <w:sz w:val="28"/>
          <w:szCs w:val="28"/>
          <w:shd w:val="clear" w:color="auto" w:fill="FFFFFF"/>
        </w:rPr>
        <w:t>10.25.</w:t>
      </w:r>
      <w:r w:rsidRPr="00503275">
        <w:rPr>
          <w:sz w:val="28"/>
          <w:szCs w:val="28"/>
          <w:shd w:val="clear" w:color="auto" w:fill="FFFFFF"/>
        </w:rPr>
        <w:t xml:space="preserve"> государственная организация, подчиненная (подотчетная) Президенту Республики Беларусь или подчиненная Совету Министров Республики Беларусь, Национальная академия наук Беларуси, организация по государственной регистрации недвижимого имущества, прав на него и </w:t>
      </w:r>
      <w:r>
        <w:rPr>
          <w:sz w:val="28"/>
          <w:szCs w:val="28"/>
          <w:shd w:val="clear" w:color="auto" w:fill="FFFFFF"/>
        </w:rPr>
        <w:t>сделок с ним, а также нотариус –</w:t>
      </w:r>
      <w:r w:rsidRPr="00503275">
        <w:rPr>
          <w:sz w:val="28"/>
          <w:szCs w:val="28"/>
          <w:shd w:val="clear" w:color="auto" w:fill="FFFFFF"/>
        </w:rPr>
        <w:t xml:space="preserve"> по запросам о предоставлении информации, содержащейся в Едином государственном регистре юридических лиц и индивидуальных предпринимателей, реестре специальных разрешений (лицензий), Государственном </w:t>
      </w:r>
      <w:r w:rsidRPr="00503275">
        <w:rPr>
          <w:rStyle w:val="colorff00ff"/>
          <w:sz w:val="28"/>
          <w:szCs w:val="28"/>
        </w:rPr>
        <w:t>реестре</w:t>
      </w:r>
      <w:r w:rsidRPr="00503275">
        <w:rPr>
          <w:rStyle w:val="fake-non-breaking-space"/>
          <w:sz w:val="28"/>
          <w:szCs w:val="28"/>
          <w:shd w:val="clear" w:color="auto" w:fill="FFFFFF"/>
        </w:rPr>
        <w:t> </w:t>
      </w:r>
      <w:r w:rsidRPr="00503275">
        <w:rPr>
          <w:sz w:val="28"/>
          <w:szCs w:val="28"/>
          <w:shd w:val="clear" w:color="auto" w:fill="FFFFFF"/>
        </w:rPr>
        <w:t>морских судов Республики Беларусь, Государственном судовом реестре Республики Беларусь или судовой </w:t>
      </w:r>
      <w:r w:rsidRPr="00503275">
        <w:rPr>
          <w:rStyle w:val="colorff00ff"/>
          <w:sz w:val="28"/>
          <w:szCs w:val="28"/>
        </w:rPr>
        <w:t>книге</w:t>
      </w:r>
      <w:r w:rsidRPr="00503275">
        <w:rPr>
          <w:sz w:val="28"/>
          <w:szCs w:val="28"/>
          <w:shd w:val="clear" w:color="auto" w:fill="FFFFFF"/>
        </w:rPr>
        <w:t>,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p w:rsidR="006A488C" w:rsidRDefault="0081764F" w:rsidP="004A2BAD">
      <w:pPr>
        <w:pStyle w:val="p-normal"/>
        <w:shd w:val="clear" w:color="auto" w:fill="FFFFFF"/>
        <w:spacing w:before="0" w:beforeAutospacing="0" w:after="0" w:afterAutospacing="0"/>
        <w:ind w:firstLine="709"/>
        <w:jc w:val="both"/>
        <w:rPr>
          <w:color w:val="000000" w:themeColor="text1"/>
          <w:sz w:val="28"/>
          <w:szCs w:val="28"/>
          <w:shd w:val="clear" w:color="auto" w:fill="FFFFFF"/>
        </w:rPr>
      </w:pPr>
      <w:r w:rsidRPr="009F4ACA">
        <w:rPr>
          <w:b/>
          <w:color w:val="000000" w:themeColor="text1"/>
          <w:sz w:val="28"/>
          <w:szCs w:val="28"/>
          <w:shd w:val="clear" w:color="auto" w:fill="FFFFFF"/>
        </w:rPr>
        <w:t>10.26.</w:t>
      </w:r>
      <w:r w:rsidRPr="009F4ACA">
        <w:rPr>
          <w:color w:val="000000" w:themeColor="text1"/>
          <w:sz w:val="28"/>
          <w:szCs w:val="28"/>
          <w:shd w:val="clear" w:color="auto" w:fill="FFFFFF"/>
        </w:rPr>
        <w:t xml:space="preserve"> </w:t>
      </w:r>
      <w:r w:rsidRPr="00FE76EA">
        <w:rPr>
          <w:i/>
          <w:color w:val="000000" w:themeColor="text1"/>
          <w:sz w:val="28"/>
          <w:szCs w:val="28"/>
          <w:shd w:val="clear" w:color="auto" w:fill="FFFFFF"/>
        </w:rPr>
        <w:t>организация,</w:t>
      </w:r>
      <w:r w:rsidRPr="009F4ACA">
        <w:rPr>
          <w:color w:val="000000" w:themeColor="text1"/>
          <w:sz w:val="28"/>
          <w:szCs w:val="28"/>
          <w:shd w:val="clear" w:color="auto" w:fill="FFFFFF"/>
        </w:rPr>
        <w:t xml:space="preserve"> осуществляющая начисление платы за жилищно-коммунальные услуги и платы за пользование жилым помещением, за исключением газо- и </w:t>
      </w:r>
      <w:proofErr w:type="spellStart"/>
      <w:r w:rsidRPr="009F4ACA">
        <w:rPr>
          <w:color w:val="000000" w:themeColor="text1"/>
          <w:sz w:val="28"/>
          <w:szCs w:val="28"/>
          <w:shd w:val="clear" w:color="auto" w:fill="FFFFFF"/>
        </w:rPr>
        <w:t>энергоснабжающих</w:t>
      </w:r>
      <w:proofErr w:type="spellEnd"/>
      <w:r w:rsidRPr="009F4ACA">
        <w:rPr>
          <w:color w:val="000000" w:themeColor="text1"/>
          <w:sz w:val="28"/>
          <w:szCs w:val="28"/>
          <w:shd w:val="clear" w:color="auto" w:fill="FFFFFF"/>
        </w:rPr>
        <w:t xml:space="preserve"> организаций, входящих в состав государственного производственного объединения по топливу и газификации "</w:t>
      </w:r>
      <w:proofErr w:type="spellStart"/>
      <w:r w:rsidRPr="009F4ACA">
        <w:rPr>
          <w:color w:val="000000" w:themeColor="text1"/>
          <w:sz w:val="28"/>
          <w:szCs w:val="28"/>
          <w:shd w:val="clear" w:color="auto" w:fill="FFFFFF"/>
        </w:rPr>
        <w:t>Белтопгаз</w:t>
      </w:r>
      <w:proofErr w:type="spellEnd"/>
      <w:r w:rsidRPr="009F4ACA">
        <w:rPr>
          <w:color w:val="000000" w:themeColor="text1"/>
          <w:sz w:val="28"/>
          <w:szCs w:val="28"/>
          <w:shd w:val="clear" w:color="auto" w:fill="FFFFFF"/>
        </w:rPr>
        <w:t>" и государственного производственного объединения электроэнергетики "</w:t>
      </w:r>
      <w:proofErr w:type="spellStart"/>
      <w:r w:rsidRPr="009F4ACA">
        <w:rPr>
          <w:color w:val="000000" w:themeColor="text1"/>
          <w:sz w:val="28"/>
          <w:szCs w:val="28"/>
          <w:shd w:val="clear" w:color="auto" w:fill="FFFFFF"/>
        </w:rPr>
        <w:t>Белэнерго</w:t>
      </w:r>
      <w:proofErr w:type="spellEnd"/>
      <w:r w:rsidRPr="009F4ACA">
        <w:rPr>
          <w:color w:val="000000" w:themeColor="text1"/>
          <w:sz w:val="28"/>
          <w:szCs w:val="28"/>
          <w:shd w:val="clear" w:color="auto" w:fill="FFFFFF"/>
        </w:rPr>
        <w:t xml:space="preserve">", </w:t>
      </w:r>
      <w:r w:rsidRPr="00FE76EA">
        <w:rPr>
          <w:i/>
          <w:color w:val="000000" w:themeColor="text1"/>
          <w:sz w:val="28"/>
          <w:szCs w:val="28"/>
          <w:shd w:val="clear" w:color="auto" w:fill="FFFFFF"/>
        </w:rPr>
        <w:t>организация,</w:t>
      </w:r>
      <w:r w:rsidRPr="009F4ACA">
        <w:rPr>
          <w:color w:val="000000" w:themeColor="text1"/>
          <w:sz w:val="28"/>
          <w:szCs w:val="28"/>
          <w:shd w:val="clear" w:color="auto" w:fill="FFFFFF"/>
        </w:rPr>
        <w:t xml:space="preserve"> назначающая и выплачивающая государственные пособия семьям, воспитывающим детей, а также </w:t>
      </w:r>
      <w:r w:rsidRPr="00FE76EA">
        <w:rPr>
          <w:i/>
          <w:color w:val="000000" w:themeColor="text1"/>
          <w:sz w:val="28"/>
          <w:szCs w:val="28"/>
          <w:shd w:val="clear" w:color="auto" w:fill="FFFFFF"/>
        </w:rPr>
        <w:t>временный (антикризисный) управляющий, назначенный судом для осуществления своих полномочий в процедурах экономической несостоятельности (банкротства)</w:t>
      </w:r>
      <w:r w:rsidRPr="009F4ACA">
        <w:rPr>
          <w:color w:val="000000" w:themeColor="text1"/>
          <w:sz w:val="28"/>
          <w:szCs w:val="28"/>
          <w:shd w:val="clear" w:color="auto" w:fill="FFFFFF"/>
        </w:rPr>
        <w:t xml:space="preserve">, </w:t>
      </w:r>
      <w:r w:rsidR="00FE76EA" w:rsidRPr="00FE76EA">
        <w:rPr>
          <w:i/>
          <w:color w:val="000000" w:themeColor="text1"/>
          <w:sz w:val="28"/>
          <w:szCs w:val="28"/>
          <w:shd w:val="clear" w:color="auto" w:fill="FFFFFF"/>
        </w:rPr>
        <w:t>судебные исполнители</w:t>
      </w:r>
      <w:r w:rsidR="00FE76EA">
        <w:rPr>
          <w:color w:val="000000" w:themeColor="text1"/>
          <w:sz w:val="28"/>
          <w:szCs w:val="28"/>
          <w:shd w:val="clear" w:color="auto" w:fill="FFFFFF"/>
        </w:rPr>
        <w:t xml:space="preserve"> </w:t>
      </w:r>
      <w:r w:rsidRPr="009F4ACA">
        <w:rPr>
          <w:color w:val="000000" w:themeColor="text1"/>
          <w:sz w:val="28"/>
          <w:szCs w:val="28"/>
          <w:shd w:val="clear" w:color="auto" w:fill="FFFFFF"/>
        </w:rPr>
        <w:t xml:space="preserve">по запросам о предоставлении информации, содержащейся в Едином государственном </w:t>
      </w:r>
      <w:r w:rsidRPr="009F4ACA">
        <w:rPr>
          <w:color w:val="000000" w:themeColor="text1"/>
          <w:sz w:val="28"/>
          <w:szCs w:val="28"/>
          <w:shd w:val="clear" w:color="auto" w:fill="FFFFFF"/>
        </w:rPr>
        <w:lastRenderedPageBreak/>
        <w:t>регистре юридических лиц и индивидуальных предпринимателей и необходимой для выполнения возложенных на них законодательными актами обязанностей</w:t>
      </w:r>
      <w:r w:rsidR="004A2BAD" w:rsidRPr="009F4ACA">
        <w:rPr>
          <w:color w:val="000000" w:themeColor="text1"/>
          <w:sz w:val="28"/>
          <w:szCs w:val="28"/>
          <w:shd w:val="clear" w:color="auto" w:fill="FFFFFF"/>
        </w:rPr>
        <w:t>.</w:t>
      </w:r>
    </w:p>
    <w:p w:rsidR="00BF1EC5" w:rsidRPr="00AB5333" w:rsidRDefault="00BF1EC5" w:rsidP="00AB5333">
      <w:pPr>
        <w:pStyle w:val="underpoint"/>
        <w:rPr>
          <w:sz w:val="28"/>
          <w:szCs w:val="28"/>
        </w:rPr>
      </w:pPr>
      <w:r w:rsidRPr="00BF1EC5">
        <w:rPr>
          <w:b/>
          <w:sz w:val="28"/>
          <w:szCs w:val="28"/>
        </w:rPr>
        <w:t>10.31.</w:t>
      </w:r>
      <w:r>
        <w:t> </w:t>
      </w:r>
      <w:r w:rsidRPr="00BF1EC5">
        <w:rPr>
          <w:sz w:val="28"/>
          <w:szCs w:val="28"/>
        </w:rPr>
        <w:t>судебные исполнители в случае принудительного исполнения судебного постановления о признании за Республикой Беларусь и (или) ее административно-территориальной единицей прав на акции, подлежащие эмиссии и передаче в собственность Республики Беларусь и (или) ее административно-территориальных единиц, принятого в целях восстановления прав Республики Беларусь и (или) ее административно-территориальных единиц, за государственную регистрацию изменений и (или) дополнений, внесенных в уставы акционерных обществ, созданных в процессе преобразования арендных, коллективных (народных), государственных, государственных унитарных предприятий и приватизации арендных предприятий, а также за государственную регистрацию дополнительного выпуска акций, передаваемых в собственность Республики Беларусь или ее административно-территориальной единицы;</w:t>
      </w:r>
      <w:bookmarkStart w:id="0" w:name="_GoBack"/>
      <w:bookmarkEnd w:id="0"/>
    </w:p>
    <w:p w:rsidR="00A317F1" w:rsidRPr="009F4ACA" w:rsidRDefault="00A317F1" w:rsidP="004A2BAD">
      <w:pPr>
        <w:pStyle w:val="p-normal"/>
        <w:shd w:val="clear" w:color="auto" w:fill="FFFFFF"/>
        <w:spacing w:before="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rPr>
        <w:t xml:space="preserve">Финансовые учреждения Республики Беларусь (банки, небанковские кредитно-финансовые организации, ОАО «Банк развития Республики Беларусь», профессиональные участники рынка ценных бумаг, страховые организации, осуществляющие виды добровольного страхования, относящиеся к страхованию жизни) в целях реализации положений Указа Президента </w:t>
      </w:r>
      <w:r w:rsidR="00E2445A">
        <w:rPr>
          <w:color w:val="000000" w:themeColor="text1"/>
          <w:sz w:val="28"/>
          <w:szCs w:val="28"/>
          <w:shd w:val="clear" w:color="auto" w:fill="FFFFFF"/>
        </w:rPr>
        <w:t>Республики Беларусь от 15 октября 2015 г. № 422 «О предоставлении информации налоговым органам иностранных государств»</w:t>
      </w:r>
      <w:r w:rsidR="00B30F03">
        <w:rPr>
          <w:color w:val="000000" w:themeColor="text1"/>
          <w:sz w:val="28"/>
          <w:szCs w:val="28"/>
          <w:shd w:val="clear" w:color="auto" w:fill="FFFFFF"/>
        </w:rPr>
        <w:t xml:space="preserve"> освобождаются от уплаты государственной пошлины за предоставление информации из Единого государственного регистра юридических лиц и индивидуальных предпринимателей.</w:t>
      </w:r>
    </w:p>
    <w:sectPr w:rsidR="00A317F1" w:rsidRPr="009F4ACA" w:rsidSect="004A2BA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73"/>
    <w:rsid w:val="002F51E8"/>
    <w:rsid w:val="004A2BAD"/>
    <w:rsid w:val="00503275"/>
    <w:rsid w:val="005F7343"/>
    <w:rsid w:val="006A488C"/>
    <w:rsid w:val="00754EB4"/>
    <w:rsid w:val="0081764F"/>
    <w:rsid w:val="009449F7"/>
    <w:rsid w:val="009F4ACA"/>
    <w:rsid w:val="00A317F1"/>
    <w:rsid w:val="00AB5333"/>
    <w:rsid w:val="00B30F03"/>
    <w:rsid w:val="00BA21C5"/>
    <w:rsid w:val="00BF1EC5"/>
    <w:rsid w:val="00D82373"/>
    <w:rsid w:val="00E2445A"/>
    <w:rsid w:val="00E7791F"/>
    <w:rsid w:val="00FE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1DEFF-6E16-46E5-8FE9-367855C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91F"/>
    <w:pPr>
      <w:spacing w:after="0" w:line="240" w:lineRule="auto"/>
    </w:pPr>
    <w:rPr>
      <w:rFonts w:ascii="Calibri" w:eastAsia="Calibri" w:hAnsi="Calibri" w:cs="Times New Roman"/>
    </w:rPr>
  </w:style>
  <w:style w:type="paragraph" w:customStyle="1" w:styleId="p-normal">
    <w:name w:val="p-normal"/>
    <w:basedOn w:val="a"/>
    <w:rsid w:val="00E7791F"/>
    <w:pPr>
      <w:spacing w:before="100" w:beforeAutospacing="1" w:after="100" w:afterAutospacing="1"/>
    </w:pPr>
  </w:style>
  <w:style w:type="character" w:customStyle="1" w:styleId="h-normal">
    <w:name w:val="h-normal"/>
    <w:basedOn w:val="a0"/>
    <w:rsid w:val="00E7791F"/>
  </w:style>
  <w:style w:type="paragraph" w:styleId="a4">
    <w:name w:val="Balloon Text"/>
    <w:basedOn w:val="a"/>
    <w:link w:val="a5"/>
    <w:uiPriority w:val="99"/>
    <w:semiHidden/>
    <w:unhideWhenUsed/>
    <w:rsid w:val="009F4ACA"/>
    <w:rPr>
      <w:rFonts w:ascii="Segoe UI" w:hAnsi="Segoe UI" w:cs="Segoe UI"/>
      <w:sz w:val="18"/>
      <w:szCs w:val="18"/>
    </w:rPr>
  </w:style>
  <w:style w:type="character" w:customStyle="1" w:styleId="a5">
    <w:name w:val="Текст выноски Знак"/>
    <w:basedOn w:val="a0"/>
    <w:link w:val="a4"/>
    <w:uiPriority w:val="99"/>
    <w:semiHidden/>
    <w:rsid w:val="009F4ACA"/>
    <w:rPr>
      <w:rFonts w:ascii="Segoe UI" w:eastAsia="Times New Roman" w:hAnsi="Segoe UI" w:cs="Segoe UI"/>
      <w:sz w:val="18"/>
      <w:szCs w:val="18"/>
      <w:lang w:eastAsia="ru-RU"/>
    </w:rPr>
  </w:style>
  <w:style w:type="character" w:customStyle="1" w:styleId="colorff00ff">
    <w:name w:val="color__ff00ff"/>
    <w:basedOn w:val="a0"/>
    <w:rsid w:val="00503275"/>
  </w:style>
  <w:style w:type="character" w:customStyle="1" w:styleId="fake-non-breaking-space">
    <w:name w:val="fake-non-breaking-space"/>
    <w:basedOn w:val="a0"/>
    <w:rsid w:val="00503275"/>
  </w:style>
  <w:style w:type="paragraph" w:customStyle="1" w:styleId="underpoint">
    <w:name w:val="underpoint"/>
    <w:basedOn w:val="a"/>
    <w:rsid w:val="002F51E8"/>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1608">
      <w:bodyDiv w:val="1"/>
      <w:marLeft w:val="0"/>
      <w:marRight w:val="0"/>
      <w:marTop w:val="0"/>
      <w:marBottom w:val="0"/>
      <w:divBdr>
        <w:top w:val="none" w:sz="0" w:space="0" w:color="auto"/>
        <w:left w:val="none" w:sz="0" w:space="0" w:color="auto"/>
        <w:bottom w:val="none" w:sz="0" w:space="0" w:color="auto"/>
        <w:right w:val="none" w:sz="0" w:space="0" w:color="auto"/>
      </w:divBdr>
    </w:div>
    <w:div w:id="870267105">
      <w:bodyDiv w:val="1"/>
      <w:marLeft w:val="0"/>
      <w:marRight w:val="0"/>
      <w:marTop w:val="0"/>
      <w:marBottom w:val="0"/>
      <w:divBdr>
        <w:top w:val="none" w:sz="0" w:space="0" w:color="auto"/>
        <w:left w:val="none" w:sz="0" w:space="0" w:color="auto"/>
        <w:bottom w:val="none" w:sz="0" w:space="0" w:color="auto"/>
        <w:right w:val="none" w:sz="0" w:space="0" w:color="auto"/>
      </w:divBdr>
    </w:div>
    <w:div w:id="1162626157">
      <w:bodyDiv w:val="1"/>
      <w:marLeft w:val="0"/>
      <w:marRight w:val="0"/>
      <w:marTop w:val="0"/>
      <w:marBottom w:val="0"/>
      <w:divBdr>
        <w:top w:val="none" w:sz="0" w:space="0" w:color="auto"/>
        <w:left w:val="none" w:sz="0" w:space="0" w:color="auto"/>
        <w:bottom w:val="none" w:sz="0" w:space="0" w:color="auto"/>
        <w:right w:val="none" w:sz="0" w:space="0" w:color="auto"/>
      </w:divBdr>
    </w:div>
    <w:div w:id="1451585275">
      <w:bodyDiv w:val="1"/>
      <w:marLeft w:val="0"/>
      <w:marRight w:val="0"/>
      <w:marTop w:val="0"/>
      <w:marBottom w:val="0"/>
      <w:divBdr>
        <w:top w:val="none" w:sz="0" w:space="0" w:color="auto"/>
        <w:left w:val="none" w:sz="0" w:space="0" w:color="auto"/>
        <w:bottom w:val="none" w:sz="0" w:space="0" w:color="auto"/>
        <w:right w:val="none" w:sz="0" w:space="0" w:color="auto"/>
      </w:divBdr>
    </w:div>
    <w:div w:id="1824272015">
      <w:bodyDiv w:val="1"/>
      <w:marLeft w:val="0"/>
      <w:marRight w:val="0"/>
      <w:marTop w:val="0"/>
      <w:marBottom w:val="0"/>
      <w:divBdr>
        <w:top w:val="none" w:sz="0" w:space="0" w:color="auto"/>
        <w:left w:val="none" w:sz="0" w:space="0" w:color="auto"/>
        <w:bottom w:val="none" w:sz="0" w:space="0" w:color="auto"/>
        <w:right w:val="none" w:sz="0" w:space="0" w:color="auto"/>
      </w:divBdr>
    </w:div>
    <w:div w:id="19065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2019-01-11T09:03:00Z</cp:lastPrinted>
  <dcterms:created xsi:type="dcterms:W3CDTF">2019-01-11T08:40:00Z</dcterms:created>
  <dcterms:modified xsi:type="dcterms:W3CDTF">2020-01-22T06:50:00Z</dcterms:modified>
</cp:coreProperties>
</file>