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9" w:rsidRDefault="00B25A4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25A49" w:rsidRDefault="00B25A49">
      <w:pPr>
        <w:pStyle w:val="newncpi"/>
        <w:ind w:firstLine="0"/>
        <w:jc w:val="center"/>
      </w:pPr>
      <w:r>
        <w:rPr>
          <w:rStyle w:val="datepr"/>
        </w:rPr>
        <w:t>30 мая 2003 г.</w:t>
      </w:r>
      <w:r>
        <w:rPr>
          <w:rStyle w:val="number"/>
        </w:rPr>
        <w:t xml:space="preserve"> № 724</w:t>
      </w:r>
    </w:p>
    <w:p w:rsidR="00B25A49" w:rsidRDefault="00B25A49">
      <w:pPr>
        <w:pStyle w:val="titlencpi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:rsidR="00B25A49" w:rsidRDefault="00B25A49">
      <w:pPr>
        <w:pStyle w:val="changei"/>
      </w:pPr>
      <w:r>
        <w:t>Изменения и дополнения: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15 сентября 2006 г. № 1221 (Национальный реестр правовых актов Республики Беларусь, 2006 г., № 151, 5/22953) &lt;C20601221&gt;;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:rsidR="00B25A49" w:rsidRDefault="00B25A49">
      <w:pPr>
        <w:pStyle w:val="changeadd"/>
      </w:pPr>
      <w:r>
        <w:lastRenderedPageBreak/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&lt;C21600529&gt;;</w:t>
      </w:r>
    </w:p>
    <w:p w:rsidR="00B25A49" w:rsidRDefault="00B25A49">
      <w:pPr>
        <w:pStyle w:val="changeadd"/>
      </w:pPr>
      <w:r>
        <w:t>Постановление Совета Министров Республики Беларусь от 25 августа 2017 г. № 654 (Национальный правовой Интернет-портал Республики Беларусь, 31.08.2017, 5/44123) &lt;C21700654&gt;</w:t>
      </w:r>
    </w:p>
    <w:p w:rsidR="00B25A49" w:rsidRDefault="00B25A49">
      <w:pPr>
        <w:pStyle w:val="newncpi"/>
      </w:pPr>
      <w:r>
        <w:t> </w:t>
      </w:r>
    </w:p>
    <w:p w:rsidR="00B25A49" w:rsidRDefault="00B25A49">
      <w:pPr>
        <w:pStyle w:val="preamble"/>
      </w:pPr>
      <w:r>
        <w:t>Совет Министров Республики Беларусь ПОСТАНОВЛЯЕТ:</w:t>
      </w:r>
    </w:p>
    <w:p w:rsidR="00B25A49" w:rsidRDefault="00B25A49">
      <w:pPr>
        <w:pStyle w:val="point"/>
      </w:pPr>
      <w:r>
        <w:t>1. Утвердить систему государственных социальных стандартов по обслуживанию населения республики (прилагается).</w:t>
      </w:r>
    </w:p>
    <w:p w:rsidR="00B25A49" w:rsidRDefault="00B25A49">
      <w:pPr>
        <w:pStyle w:val="point"/>
      </w:pPr>
      <w:r>
        <w:t>2. Облисполкомам и Минскому горисполкому до 1 июля 2003 г. на основе утвержденной настоящим постановлением системы государственных социальных стандартов по обслуживанию населения республики разработать и утвердить перечень социальных стандартов по обслуживанию населения для административно-территориальных единиц с учетом их специфики и развития инфраструктуры.</w:t>
      </w:r>
    </w:p>
    <w:p w:rsidR="00B25A49" w:rsidRDefault="00B25A49">
      <w:pPr>
        <w:pStyle w:val="point"/>
      </w:pPr>
      <w:proofErr w:type="gramStart"/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 базы и других изменений в социально-экономическом развитии регионов</w:t>
      </w:r>
      <w:proofErr w:type="gramEnd"/>
      <w:r>
        <w:t>.</w:t>
      </w:r>
    </w:p>
    <w:p w:rsidR="00B25A49" w:rsidRDefault="00B25A49">
      <w:pPr>
        <w:pStyle w:val="point"/>
      </w:pPr>
      <w:r>
        <w:t>3. Установить, что государственные социальные стандарты по обслуживанию населения республики:</w:t>
      </w:r>
    </w:p>
    <w:p w:rsidR="00B25A49" w:rsidRDefault="00B25A49">
      <w:pPr>
        <w:pStyle w:val="underpoint"/>
      </w:pPr>
      <w:r>
        <w:t>3.1. являются обязательными для использования в организациях всех форм собственности;</w:t>
      </w:r>
    </w:p>
    <w:p w:rsidR="00B25A49" w:rsidRDefault="00B25A49">
      <w:pPr>
        <w:pStyle w:val="underpoint"/>
      </w:pPr>
      <w:r>
        <w:t xml:space="preserve">3.2. 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>
        <w:t>пределах</w:t>
      </w:r>
      <w:proofErr w:type="gramEnd"/>
      <w:r>
        <w:t xml:space="preserve"> выделяемых на эти цели средств;</w:t>
      </w:r>
    </w:p>
    <w:p w:rsidR="00B25A49" w:rsidRDefault="00B25A49">
      <w:pPr>
        <w:pStyle w:val="underpoint"/>
      </w:pPr>
      <w:r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и утверждаются в установленном порядке;</w:t>
      </w:r>
    </w:p>
    <w:p w:rsidR="00B25A49" w:rsidRDefault="00B25A49">
      <w:pPr>
        <w:pStyle w:val="point"/>
      </w:pPr>
      <w:r>
        <w:t xml:space="preserve">3.4. используются при создании социальной инфраструктуры в </w:t>
      </w:r>
      <w:proofErr w:type="spellStart"/>
      <w:r>
        <w:t>агрогородках</w:t>
      </w:r>
      <w:proofErr w:type="spellEnd"/>
      <w:r>
        <w:t>, формируемых в соответствии с Государственной программой возрождения и развития села на 2005</w:t>
      </w:r>
      <w:r>
        <w:rPr>
          <w:rStyle w:val="onesymbol"/>
        </w:rPr>
        <w:t></w:t>
      </w:r>
      <w:r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B25A49" w:rsidRDefault="00B25A49">
      <w:pPr>
        <w:pStyle w:val="point"/>
      </w:pPr>
      <w:r>
        <w:lastRenderedPageBreak/>
        <w:t>4. Облисполкомам и Минскому горисполкому, районным и городским исполкомам до 1 сентября 2003 г.:</w:t>
      </w:r>
    </w:p>
    <w:p w:rsidR="00B25A49" w:rsidRDefault="00B25A49">
      <w:pPr>
        <w:pStyle w:val="underpoint"/>
      </w:pPr>
      <w:r>
        <w:t xml:space="preserve">4.1. завершить внедрение государственных социальных стандартов по обслуживанию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Верхнедвинском</w:t>
      </w:r>
      <w:proofErr w:type="gramEnd"/>
      <w:r>
        <w:t xml:space="preserve">, </w:t>
      </w:r>
      <w:proofErr w:type="spellStart"/>
      <w:r>
        <w:t>Пружанском</w:t>
      </w:r>
      <w:proofErr w:type="spellEnd"/>
      <w:r>
        <w:t xml:space="preserve">, Клецком, </w:t>
      </w:r>
      <w:proofErr w:type="spellStart"/>
      <w:r>
        <w:t>Кореличском</w:t>
      </w:r>
      <w:proofErr w:type="spellEnd"/>
      <w:r>
        <w:t xml:space="preserve">, </w:t>
      </w:r>
      <w:proofErr w:type="spellStart"/>
      <w:r>
        <w:t>Наровлянском</w:t>
      </w:r>
      <w:proofErr w:type="spellEnd"/>
      <w:r>
        <w:t xml:space="preserve">, </w:t>
      </w:r>
      <w:proofErr w:type="spellStart"/>
      <w:r>
        <w:t>Осиповичском</w:t>
      </w:r>
      <w:proofErr w:type="spellEnd"/>
      <w:r>
        <w:t xml:space="preserve"> районах;</w:t>
      </w:r>
    </w:p>
    <w:p w:rsidR="00B25A49" w:rsidRDefault="00B25A49">
      <w:pPr>
        <w:pStyle w:val="underpoint"/>
      </w:pPr>
      <w:r>
        <w:t>4.2. определить этапы внедрения государственных социальных стандартов во всех городах и районах республики.</w:t>
      </w:r>
    </w:p>
    <w:p w:rsidR="00B25A49" w:rsidRDefault="00B25A49">
      <w:pPr>
        <w:pStyle w:val="point"/>
      </w:pPr>
      <w:r>
        <w:t xml:space="preserve"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>
        <w:t>информации хода внедрения системы государственных социальных стандартов</w:t>
      </w:r>
      <w:proofErr w:type="gramEnd"/>
      <w:r>
        <w:t xml:space="preserve"> по обслуживанию населения республики.</w:t>
      </w:r>
    </w:p>
    <w:p w:rsidR="00B25A49" w:rsidRDefault="00B25A49">
      <w:pPr>
        <w:pStyle w:val="point"/>
      </w:pPr>
      <w:r>
        <w:t>6. Республиканским органам государственного управления, облисполкомам и Минскому горисполкому:</w:t>
      </w:r>
    </w:p>
    <w:p w:rsidR="00B25A49" w:rsidRDefault="00B25A49">
      <w:pPr>
        <w:pStyle w:val="underpoint"/>
      </w:pPr>
      <w:r>
        <w:t>6.1. обеспечить контроль и регулирование цен на оказываемые населению услуги;</w:t>
      </w:r>
    </w:p>
    <w:p w:rsidR="00B25A49" w:rsidRDefault="00B25A49">
      <w:pPr>
        <w:pStyle w:val="underpoint"/>
      </w:pPr>
      <w: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B25A49" w:rsidRDefault="00B25A49">
      <w:pPr>
        <w:pStyle w:val="underpoint"/>
      </w:pPr>
      <w:r>
        <w:t>6.3. при необходимости привести свои нормативные правовые акты в соответствие с настоящим постановлением.</w:t>
      </w:r>
    </w:p>
    <w:p w:rsidR="00B25A49" w:rsidRDefault="00B25A49">
      <w:pPr>
        <w:pStyle w:val="point"/>
      </w:pPr>
      <w: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B25A49" w:rsidRDefault="00B25A49">
      <w:pPr>
        <w:pStyle w:val="point"/>
      </w:pPr>
      <w:r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:rsidR="00B25A49" w:rsidRDefault="00B25A49">
      <w:pPr>
        <w:pStyle w:val="point"/>
      </w:pPr>
      <w: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B25A49" w:rsidRDefault="00B25A49">
      <w:pPr>
        <w:pStyle w:val="newncpi"/>
      </w:pPr>
      <w: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B25A49" w:rsidRDefault="00B25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25A4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A49" w:rsidRDefault="00B25A4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5A49" w:rsidRDefault="00B25A49">
            <w:pPr>
              <w:pStyle w:val="newncpi0"/>
              <w:jc w:val="right"/>
            </w:pPr>
            <w:r>
              <w:rPr>
                <w:rStyle w:val="pers"/>
              </w:rPr>
              <w:t>Г.Новицкий</w:t>
            </w:r>
          </w:p>
        </w:tc>
      </w:tr>
    </w:tbl>
    <w:p w:rsidR="00B25A49" w:rsidRDefault="00B25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25A4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capu1"/>
            </w:pPr>
            <w:r>
              <w:t>УТВЕРЖДЕНО</w:t>
            </w:r>
          </w:p>
          <w:p w:rsidR="00B25A49" w:rsidRDefault="00B25A4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25A49" w:rsidRDefault="00B25A49">
            <w:pPr>
              <w:pStyle w:val="cap1"/>
            </w:pPr>
            <w:r>
              <w:t>30.05.2003 № 724</w:t>
            </w:r>
          </w:p>
        </w:tc>
      </w:tr>
    </w:tbl>
    <w:p w:rsidR="00B25A49" w:rsidRDefault="00B25A49">
      <w:pPr>
        <w:pStyle w:val="titleu"/>
      </w:pPr>
      <w:r>
        <w:t>Система государственных социальных стандартов по обслуживанию населения республики</w:t>
      </w:r>
    </w:p>
    <w:tbl>
      <w:tblPr>
        <w:tblW w:w="4987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2987"/>
        <w:gridCol w:w="2561"/>
        <w:gridCol w:w="3826"/>
      </w:tblGrid>
      <w:tr w:rsidR="00B25A49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5A49" w:rsidRDefault="00B25A49">
            <w:pPr>
              <w:pStyle w:val="table10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5A49" w:rsidRDefault="00B25A49">
            <w:pPr>
              <w:pStyle w:val="table10"/>
              <w:jc w:val="center"/>
            </w:pPr>
            <w:r>
              <w:t>Норматив обслуживания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5A49" w:rsidRDefault="00B25A49">
            <w:pPr>
              <w:pStyle w:val="table10"/>
              <w:jc w:val="center"/>
            </w:pPr>
            <w:r>
              <w:t>Перечень документов, регулирующих предоставление стандарта, и основания для его установления</w:t>
            </w:r>
          </w:p>
        </w:tc>
      </w:tr>
      <w:tr w:rsidR="00B25A49"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жилищно-коммунального хозяйства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 xml:space="preserve">2. Норма обеспечения водой: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2.1. для граждан, проживающих в жилых домах, оборудованных централизованным водоснабжением и канализацией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140 л/сутки на одного человека, в том числе не менее 70 л/сутки – на горячее водоснабжение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определен </w:t>
            </w:r>
            <w:proofErr w:type="gramStart"/>
            <w:r>
              <w:t>исходя из среднего фактического водопотребления населением в квартирах, оборудованных индивидуальными приборами учета расхода воды, и обеспечивает</w:t>
            </w:r>
            <w:proofErr w:type="gramEnd"/>
            <w:r>
              <w:t xml:space="preserve"> комфортные условия проживания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2.2. для граждан, проживающих в </w:t>
            </w:r>
            <w:proofErr w:type="spellStart"/>
            <w:r>
              <w:t>агрогородках</w:t>
            </w:r>
            <w:proofErr w:type="spellEnd"/>
            <w:r>
              <w:t>:</w:t>
            </w:r>
          </w:p>
          <w:p w:rsidR="00B25A49" w:rsidRDefault="00B25A49">
            <w:pPr>
              <w:pStyle w:val="table10"/>
              <w:spacing w:before="120"/>
              <w:ind w:left="284"/>
            </w:pPr>
            <w:r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не менее 50 процентов проживающего в </w:t>
            </w:r>
            <w:proofErr w:type="spellStart"/>
            <w:r>
              <w:t>агрогородках</w:t>
            </w:r>
            <w:proofErr w:type="spellEnd"/>
            <w:r>
              <w:t xml:space="preserve"> населения (с учетом населения, пользующегося водой из водоразборных колонок)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единый норматив определен исходя из средних показателей по областям (от 46 до 71 процента проживающего населения)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3. Норма обеспечения водой для граждан, пользующихся водой из водоразборных колонок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35 л/сутки на одного человека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 обеспечения водой для граждан, пользующихся водой из водоразборных колонок, согласно </w:t>
            </w:r>
            <w:proofErr w:type="spellStart"/>
            <w:r>
              <w:t>СНиП</w:t>
            </w:r>
            <w:proofErr w:type="spellEnd"/>
            <w:r>
              <w:t xml:space="preserve"> 2.04.02-84 установлена от 30 до 50 л/сутки на одного человека. Решениями исполнительных и распорядительных органов во всех областях и </w:t>
            </w:r>
            <w:proofErr w:type="gramStart"/>
            <w:r>
              <w:t>г</w:t>
            </w:r>
            <w:proofErr w:type="gramEnd"/>
            <w:r>
              <w:t>. Минске утверждена норма 35 л/сутки на одного человека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4. Норматив отопления жилых помещений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18</w:t>
            </w:r>
            <w:proofErr w:type="gramStart"/>
            <w:r>
              <w:t> °С</w:t>
            </w:r>
            <w:proofErr w:type="gramEnd"/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определен на основе норм </w:t>
            </w:r>
            <w:proofErr w:type="spellStart"/>
            <w:r>
              <w:t>СанПиН</w:t>
            </w:r>
            <w:proofErr w:type="spellEnd"/>
            <w:r>
              <w:t xml:space="preserve"> «Санитарные нормы, правила и гигиенические нормативы «Гигиенические требования к устройству, оборудованию и содержанию жилых домов» и СНБ 3.02.04-03 «Жилые здания», приложение</w:t>
            </w:r>
            <w:proofErr w:type="gramStart"/>
            <w:r>
              <w:t xml:space="preserve"> В</w:t>
            </w:r>
            <w:proofErr w:type="gramEnd"/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5. Норматив температуры горячей воды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50</w:t>
            </w:r>
            <w:proofErr w:type="gramStart"/>
            <w:r>
              <w:t> °С</w:t>
            </w:r>
            <w:proofErr w:type="gramEnd"/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температура горячей воды нормируется </w:t>
            </w:r>
            <w:proofErr w:type="spellStart"/>
            <w:r>
              <w:t>СНиП</w:t>
            </w:r>
            <w:proofErr w:type="spellEnd"/>
            <w:r>
              <w:t xml:space="preserve"> 2.04.01-85 «Внутренний водопровод и канализация зданий» и </w:t>
            </w:r>
            <w:proofErr w:type="spellStart"/>
            <w:r>
              <w:t>СанНиП</w:t>
            </w:r>
            <w:proofErr w:type="spellEnd"/>
            <w:r>
              <w:t xml:space="preserve"> № 4723-88 «Санитарные правила проектирования и эксплуатации систем централизованного горячего водоснабжения», которыми температура воды установлена 50</w:t>
            </w:r>
            <w:proofErr w:type="gramStart"/>
            <w:r>
              <w:t> °С</w:t>
            </w:r>
            <w:proofErr w:type="gramEnd"/>
            <w:r>
              <w:t xml:space="preserve"> для закрытых систем теплоснабжения и не ниже 60 °С для открытых систем теплоснабжения. Учитывая финансовые возможности местных бюджетов по оплате затрат на выработку тепловой энергии предлагается установить температуру горячей воды не менее 50</w:t>
            </w:r>
            <w:proofErr w:type="gramStart"/>
            <w:r>
              <w:t> °С</w:t>
            </w:r>
            <w:proofErr w:type="gramEnd"/>
            <w:r>
              <w:t>, что обеспечит соблюдение санитарно-гигиенических требований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6. Наличие </w:t>
            </w:r>
            <w:proofErr w:type="spellStart"/>
            <w:r>
              <w:t>помывочных</w:t>
            </w:r>
            <w:proofErr w:type="spellEnd"/>
            <w:r>
              <w:t xml:space="preserve"> мест в банях для городов и городских поселков в жилищном фонде: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определен на основе норм ТКП 45-3.01-116-2008 «Градостроительство. Населенные пункты. Нормы планировки и застройки». В сельских населенных пунктах необходимость наличия душевых либо общественной бани и количество в них </w:t>
            </w:r>
            <w:proofErr w:type="spellStart"/>
            <w:r>
              <w:t>помывочных</w:t>
            </w:r>
            <w:proofErr w:type="spellEnd"/>
            <w:r>
              <w:t xml:space="preserve"> мест определяются местными исполнительными и распорядительными органами в зависимости от местных условий, в том числе с учетом наличия индивидуальных бань, благоустроенного жилищного фонда, общественных бань или душевых в близко расположенных населенных пунктах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благоустроенном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 места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неблагоустроенном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5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7. Удельный вес освещенных улиц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80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указанные </w:t>
            </w:r>
            <w:proofErr w:type="spellStart"/>
            <w:r>
              <w:t>среднеобластные</w:t>
            </w:r>
            <w:proofErr w:type="spellEnd"/>
            <w:r>
              <w:t xml:space="preserve"> показатели в настоящее время составляют от 70,4 до 91,1 процента, средний уровень в целом по республике – 81,6 процента. В связи с этим предлагается установить его на уровне не менее среднего по республике – 80 процентов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8. Удельный вес улиц с усовершенствованным покрытием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60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указанные </w:t>
            </w:r>
            <w:proofErr w:type="spellStart"/>
            <w:r>
              <w:t>среднеобластные</w:t>
            </w:r>
            <w:proofErr w:type="spellEnd"/>
            <w:r>
              <w:t xml:space="preserve"> показатели в настоящее время составляют от 51,6 до 66,7 процента, средний уровень в целом по республике – 60,1 процента. В связи с этим предлагается установить его на уровне не менее среднего по республике – 60 процентов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9. График подачи горячей воды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ежедневно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в исключительных </w:t>
            </w:r>
            <w:proofErr w:type="gramStart"/>
            <w:r>
              <w:t>случаях</w:t>
            </w:r>
            <w:proofErr w:type="gramEnd"/>
            <w:r>
              <w:t xml:space="preserve"> с учетом имеющихся финансово-технических возможностей при обеспечении соблюдения санитарно-гигиенических требований разрешается осуществлять подачу горячей воды по графикам, утвержденным местными исполнительными и распорядительными органами, но не менее 2 дней в неделю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10. Наличие общественных уборных в городах и городских поселках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не менее одной на 1 тыс. человек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определен на основе норм ТКП 45-3.01-116-2008 «Градостроительство. Населенные пункты. Нормы планировки и застройки», таблица 7.3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11.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12. Норматив потребления электроэнергии в домах: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нормативы потребления электроэнергии установлены на основе среднестатистических данных потребления электроэнергии гражданами, проживающими в жилых домах с использованием минимально необходимого для комфортного проживания набора электроприборов (осветительные приборы, холодильник, телевизор, пылесос, утюг, стиральная машина) 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3"/>
            </w:pPr>
            <w:r>
              <w:t>с газовыми плитами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60 кВт/</w:t>
            </w:r>
            <w:proofErr w:type="gramStart"/>
            <w:r>
              <w:t>ч</w:t>
            </w:r>
            <w:proofErr w:type="gramEnd"/>
            <w:r>
              <w:t xml:space="preserve"> в месяц на одного человека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3"/>
            </w:pPr>
            <w:r>
              <w:t>с электроплитами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90 кВт/</w:t>
            </w:r>
            <w:proofErr w:type="gramStart"/>
            <w:r>
              <w:t>ч</w:t>
            </w:r>
            <w:proofErr w:type="gramEnd"/>
            <w:r>
              <w:t xml:space="preserve"> в месяц на одного человека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13.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5A49" w:rsidRDefault="00B25A49">
            <w:pPr>
              <w:pStyle w:val="newncpi"/>
            </w:pPr>
            <w:r>
              <w:t> 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образования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14.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85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статьи 2 и 3 Кодекса Республики Беларусь об образовании, Закон Республики Беларусь «О правах ребенка»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15. Норматив охвата детей пятилетнего возраста подготовкой </w:t>
            </w:r>
            <w:r>
              <w:lastRenderedPageBreak/>
              <w:t>к обучению в учреждениях общего среднего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пункт 4 статьи 152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16.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1170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17. 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950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18. 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820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обеспечение доступности образования, коррекционной помощи, социальной адаптации лицам с особенностями психофизического развития предусмотрено статьями 2, 3 и 137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19. 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2100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в соответствии со статьями 3 и 137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20. 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60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в соответствии со статьями 3 и 137 Кодекса Республики Беларусь об образовании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21.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8 кв. метров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22.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обеспечивает выполнение учебной программы по учебному предмету «Физическая культура и здоровье»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спортивными плоскостными сооружениями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1,62 кв. метра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зданиями спортивного назначения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0,5 кв. метра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23.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</w:t>
            </w:r>
            <w:r>
              <w:lastRenderedPageBreak/>
              <w:t>обучения и реабилитации персональными компьютерами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один компьютер на 30 учащихся или не менее одного компьютерного класса на учреждение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обеспечивает выполнение учебной программы по учебным предметам «Информатика», «Элементы компьютерной грамоты»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lastRenderedPageBreak/>
              <w:t>В области культуры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24.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24.1. расходов на культуру в расчете на одного человека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1,3 базовой величины на одного человека за счет бюджетного финансирования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обеспеченности расходов на культуру отражает размер сре</w:t>
            </w:r>
            <w:proofErr w:type="gramStart"/>
            <w:r>
              <w:t>дств в р</w:t>
            </w:r>
            <w:proofErr w:type="gramEnd"/>
            <w:r>
              <w:t>асчете на одного человека, обеспечивающих предоставление минимального перечня общедоступных социальных услуг организаций культуры, а также позволяющих сохранить существующую сеть библиотек, клубных учреждений, музеев и организаций кинематографии, осуществляющих прокат и показ фильмов.</w:t>
            </w:r>
            <w:r>
              <w:br/>
              <w:t>Норматив обеспеченности расходов за счет средств бюджета определяется ежегодно при утверждении республиканского и местных бюджетов в установленном порядке.</w:t>
            </w:r>
            <w:r>
              <w:br/>
              <w:t>Облисполкомы и Минский горисполком имеют право устанавливать дифференцированно норматив обеспеченности расходов на культуру в расчете на одного человека для административно-территориальных единиц, не уменьшая указанный норматив в целом по области (</w:t>
            </w:r>
            <w:proofErr w:type="gramStart"/>
            <w:r>
              <w:t>г</w:t>
            </w:r>
            <w:proofErr w:type="gramEnd"/>
            <w:r>
              <w:t>. Минску).</w:t>
            </w:r>
            <w:r>
              <w:br/>
              <w:t>Кодекс Республики Беларусь о культуре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24.2. </w:t>
            </w:r>
            <w:proofErr w:type="spellStart"/>
            <w:r>
              <w:t>агрогородков</w:t>
            </w:r>
            <w:proofErr w:type="spellEnd"/>
            <w:r>
              <w:t>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8"/>
            </w:pPr>
            <w:r>
              <w:t>клубом или организацией культуры смешанного типа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одного клуба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организации культуры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обеспечивает предоставление минимального перечня общедоступных социальных услуг в области культуры в </w:t>
            </w:r>
            <w:proofErr w:type="spellStart"/>
            <w:r>
              <w:t>агрогородках</w:t>
            </w:r>
            <w:proofErr w:type="spellEnd"/>
            <w:r>
              <w:t>. Кодекс Республики Беларусь о культуре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8"/>
            </w:pPr>
            <w:r>
              <w:t>библиотекой или организацией культуры смешанного типа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одной библиотеки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библиотеки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Кодекс Республики Беларусь о культуре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8"/>
            </w:pPr>
            <w: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оказание услуг по показу фильмов с использованием стационарной либо передвижной установки осуществляется по графикам, утвержденным местными исполнительными и распорядительными органами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связи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25. Срок удовлетворения заявления на установку телефона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не более одного года с момента подачи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26. Обеспечение возможности оказания услуг широкополосного доступа в сеть Интернет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в каждом населенном пункте с населением более 1,5 тыс. жителей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27. Норматив телефонизации учреждений здравоохранения, в том числе в 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28. Частота доставки почты: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 xml:space="preserve">в районах, в том числе в 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раз в день, не менее 5 дней в неделю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Правила оказания услуг почтовой связи, утвержденные постановлением Совета Министров Республики Беларусь от 7 сентября 2004 г. № 1111, и постановление Министерства связи и информатизации Республики Беларусь от 28 января 2009 г. № 3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в областных центрах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1–2 раза в день, 6 дней в неделю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транспорта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29. Норматив наличия автостанций (</w:t>
            </w:r>
            <w:proofErr w:type="spellStart"/>
            <w:r>
              <w:t>автокасс</w:t>
            </w:r>
            <w:proofErr w:type="spellEnd"/>
            <w:r>
              <w:t xml:space="preserve">) для обслуживания пассажиров автобусных маршрутов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1–2 автостанции (</w:t>
            </w:r>
            <w:proofErr w:type="spellStart"/>
            <w:r>
              <w:t>автокассы</w:t>
            </w:r>
            <w:proofErr w:type="spellEnd"/>
            <w:r>
              <w:t xml:space="preserve">) на один район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на уровне районов транспортные услуги населению оказываются транспортными средствами автомобильного транспорта общего пользования, находящимися в республиканской и частной собственности, железнодорожным транспортом – при наличии в районе железнодорожного сообщения. С учетом социальных, технологических, планировочных, технических и финансовых факторов объемы оказываемых транспортных услуг, соотношение, доля и значение каждого вида транспорта в оказании транспортных услуг на уровне каждого отдельно взятого района различна. </w:t>
            </w:r>
            <w:proofErr w:type="gramStart"/>
            <w:r>
              <w:t>Исходя из этого и определены</w:t>
            </w:r>
            <w:proofErr w:type="gramEnd"/>
            <w:r>
              <w:t xml:space="preserve"> нормативы социального стандарта по обеспечению перевозок пассажиров автобусами по регулярным маршрутам, а также нормативы наличия автостанций (</w:t>
            </w:r>
            <w:proofErr w:type="spellStart"/>
            <w:r>
              <w:t>автокасс</w:t>
            </w:r>
            <w:proofErr w:type="spellEnd"/>
            <w:r>
              <w:t>) для обслуживания пассажиров автобусных маршрутов.</w:t>
            </w:r>
            <w:r>
              <w:br/>
              <w:t>Нормативы в области транспорта разрабатываются на основании:</w:t>
            </w:r>
            <w:r>
              <w:br/>
              <w:t>Закона Республики Беларусь «Об автомобильном транспорте и автомобильных перевозках»;</w:t>
            </w:r>
            <w:r>
              <w:br/>
              <w:t>постановления Совета Министров Республики Беларусь от 30 июня 2008 г. № 972 «О некоторых вопросах автомобильных перевозок пассажиров»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30. Охват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центральных усадеб сельских советов и сельскохозяйственных организаций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 при обязательном выполнении не менее 16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proofErr w:type="spellStart"/>
            <w:r>
              <w:t>агрогородков</w:t>
            </w:r>
            <w:proofErr w:type="spellEnd"/>
            <w:r>
              <w:t xml:space="preserve"> с численностью населения более 1 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 при обязательном выполнении не менее 28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31. Охват транспортным </w:t>
            </w:r>
            <w:r>
              <w:lastRenderedPageBreak/>
              <w:t>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lastRenderedPageBreak/>
              <w:t>от 20 до 50 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 с обязательным выполнением не менее 4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свыше 50 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100 процентов с обязательным выполнением не менее 8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32. Зона охвата населенных пунктов с численностью населения от 20 человек транспортным обслуживанием (с 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до 3 км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33. Норматив обслуживания населения по городским перевозкам для городов и городских поселков с численностью: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нормативы определены с учетом перевозки пассажиров в регулярном сообщении в рабочие, выходные и праздничные дни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2"/>
            </w:pPr>
            <w:r>
              <w:t>от 10 до 30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автобус на 8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2"/>
            </w:pPr>
            <w:r>
              <w:t>от 30 до 50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автобус на 4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2"/>
            </w:pPr>
            <w:r>
              <w:t>от 50 до 250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автобус (троллейбус, трамвай) на 2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2"/>
            </w:pPr>
            <w:r>
              <w:t>от 250 до 1000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автобус (троллейбус, трамвай) на 1,5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72"/>
            </w:pPr>
            <w:r>
              <w:t>свыше 1000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автобус (троллейбус, трамвай, вагон метрополитена) на 2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34. Норматив обслуживания населения на внутриобластных (междугородных) маршрутах с учетом железнодорожного транспорта и внутреннего водного транспорта в навигационный период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ежедневно 1 оборот (2 рейса) между районом и областным центром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социального обслуживания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35. Норматив обеспеченности центрами социального обслуживания населения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центр на административный район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proofErr w:type="gramStart"/>
            <w:r>
              <w:t xml:space="preserve">норматив установлен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«О некоторых вопросах оказания социальных услуг», Положением о территориальном центре социального обслуживания населения, утвержденным постановлением Министерства труда и социальной защиты Республики Беларусь </w:t>
            </w:r>
            <w:r>
              <w:lastRenderedPageBreak/>
              <w:t>от 10 января</w:t>
            </w:r>
            <w:proofErr w:type="gramEnd"/>
            <w:r>
              <w:t xml:space="preserve"> 2013 г. № 5 «Об утверждении положений об учреждениях социального обслуживания»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lastRenderedPageBreak/>
              <w:t>В области здравоохранения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36. Норматив бюджетной обеспеченности расходов на здравоохранение на одного жителя в среднем по республике; </w:t>
            </w:r>
            <w:proofErr w:type="spellStart"/>
            <w:r>
              <w:t>среднереспубликанский</w:t>
            </w:r>
            <w:proofErr w:type="spellEnd"/>
            <w:r>
              <w:t xml:space="preserve"> областей и </w:t>
            </w:r>
            <w:proofErr w:type="gramStart"/>
            <w:r>
              <w:t>г</w:t>
            </w:r>
            <w:proofErr w:type="gramEnd"/>
            <w:r>
              <w:t>. Минска; по каждой области и г. Минску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в размерах, установленных законом Республики Беларусь о бюджете Республики Беларусь на очередной финансовый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бюджетной обеспеченности расходов на здравоохранение (без расходов на капитальное строительство) является минимальным и отражает размер бюджетных сре</w:t>
            </w:r>
            <w:proofErr w:type="gramStart"/>
            <w:r>
              <w:t>дств в р</w:t>
            </w:r>
            <w:proofErr w:type="gramEnd"/>
            <w:r>
              <w:t>асчете на одного жителя, направляемых для компенсации затрат организаций здравоохранения на предоставление бесплатной медицинской помощи, устанавливаемых законом Республики Беларусь о бюджете Республики Беларусь на очередной финансовый год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37.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1 врач на 1,3 тыс. жителей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обеспеченности участковыми врачами – терапевтами, участковыми врачами – педиатрами, врачами общей практики определяется показателем числа обслуживаемого населения в расчете на одного участкового врача (терапевта и педиатра суммарно) и врача общей практики по занятым должностям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участковыми врачами – терапевтами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врач на 1,7 тыс. взрослого населения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участковыми врачами – педиатрами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врач на 0,8 тыс. детского населения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врачами общей практики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врач на 1,3 тыс. жителей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38.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38.1. койками: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9 коек на 1 тыс. жителей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обеспеченности койками определяется показателем минимального количества коек </w:t>
            </w:r>
            <w:proofErr w:type="gramStart"/>
            <w:r>
              <w:t>в больничных организациях с круглосуточным пребыванием с учетом оказания стационарной помощи на республиканском уровне без учета</w:t>
            </w:r>
            <w:proofErr w:type="gramEnd"/>
            <w:r>
              <w:t xml:space="preserve"> больниц сестринского ухода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 xml:space="preserve">в том числе </w:t>
            </w:r>
            <w:proofErr w:type="gramStart"/>
            <w:r>
              <w:t>г</w:t>
            </w:r>
            <w:proofErr w:type="gramEnd"/>
            <w:r>
              <w:t>. Минск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8 коек на 1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38.2. аптеками: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обеспеченности аптеками всех форм собственности определяется минимальным количеством аптек, осуществляющих розничную реализацию лекарственных средств и изделий медицинского назначения в расчете на количество обслуживаемого населения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для регионов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аптека на 8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567"/>
            </w:pPr>
            <w:r>
              <w:t xml:space="preserve">в том числе </w:t>
            </w:r>
            <w:proofErr w:type="gramStart"/>
            <w:r>
              <w:t>г</w:t>
            </w:r>
            <w:proofErr w:type="gramEnd"/>
            <w:r>
              <w:t>. Минск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аптека на 11,5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38.3. бригадами скорой медицинской помощи: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норматив обеспеченности бригадами скорой медицинской помощи определяется количеством врачебных, фельдшерских и специализированных бригад скорой медицинской помощи (суммарно) в расчете на количество обслуживаемого населения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для регионов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бригада скорой медицинской помощи на 12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567"/>
            </w:pPr>
            <w:r>
              <w:t xml:space="preserve">в том числе </w:t>
            </w:r>
            <w:proofErr w:type="gramStart"/>
            <w:r>
              <w:t>г</w:t>
            </w:r>
            <w:proofErr w:type="gramEnd"/>
            <w:r>
              <w:t>. Минск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бригада скорой медицинской помощи на 12,5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38.4. специальными автомобилями: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обеспеченности специальными автомобилями амбулаторий, больниц </w:t>
            </w:r>
            <w:r>
              <w:lastRenderedPageBreak/>
              <w:t>сестринского ухода и участковых больниц определяется наличием в каждой амбулатории, больнице сестринского ухода одного специального автомобиля «медицинская помощь», в участковой больнице с коечным фондом: 20 коек и менее – одного специального автомобиля «медицинская помощь»; более 20 коек – двух специальных автомобилей «медицинская помощь»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lastRenderedPageBreak/>
              <w:t>амбулаторий, больниц сестринского ухода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lastRenderedPageBreak/>
              <w:t>участковых больниц с коечным фондом: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567"/>
            </w:pPr>
            <w:r>
              <w:t>20 коек и менее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567"/>
            </w:pPr>
            <w:r>
              <w:t>более 20 коек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2 </w:t>
            </w:r>
            <w:proofErr w:type="gramStart"/>
            <w:r>
              <w:t>специальных</w:t>
            </w:r>
            <w:proofErr w:type="gramEnd"/>
            <w:r>
              <w:t xml:space="preserve"> автомобиля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39.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торговли, общественного питания и бытового обслуживания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40. Норматив обеспеченности населения торговой площадью по республике в целом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600 кв. метров на 1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в районных центрах размещаются стационарные торговые объекты с универсальным и специализированным ассортиментом товаров, центры поддержки личных подсобных хозяйств.</w:t>
            </w:r>
            <w:r>
              <w:br/>
              <w:t>В сельских населенных пунктах с численностью населения:</w:t>
            </w:r>
            <w:r>
              <w:br/>
              <w:t xml:space="preserve">от 200 человек и выше и </w:t>
            </w:r>
            <w:proofErr w:type="spellStart"/>
            <w:r>
              <w:t>агрогородках</w:t>
            </w:r>
            <w:proofErr w:type="spellEnd"/>
            <w:r>
              <w:t> – не менее одного магазина по торговле смешанным ассортиментом товаров;</w:t>
            </w:r>
            <w:r>
              <w:br/>
              <w:t xml:space="preserve">до 200 человек – при отсутствии стационарных торговых объектов осуществляется торговое обслуживание </w:t>
            </w:r>
            <w:proofErr w:type="spellStart"/>
            <w:r>
              <w:t>автомагазинами</w:t>
            </w:r>
            <w:proofErr w:type="spellEnd"/>
            <w:r>
              <w:t>, другими нестационарными торговыми объектами, магазинами близлежащих населенных пунктов.</w:t>
            </w:r>
            <w:r>
              <w:br/>
              <w:t>Программа деятельности Правительства Республики Беларусь на 2011–2015 годы, утвержденная постановлением Совета Министров Республики Беларусь от 18 февраля 2011 г. № 216. Выполнение норматива обеспечивается до конца 2015 года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41. Норматив обеспеченности населения местами в общедоступных объектах общественного питания: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рестораны, кафе, столовые и другие общедоступные объекты общественного питания, включая объекты общественного питания при производственных организациях, учреждениях образования и других организациях, осуществляющих обслуживание населения независимо от их места приложения труда.</w:t>
            </w:r>
            <w:r>
              <w:br/>
              <w:t xml:space="preserve">В </w:t>
            </w:r>
            <w:proofErr w:type="spellStart"/>
            <w:r>
              <w:t>агрогородках</w:t>
            </w:r>
            <w:proofErr w:type="spellEnd"/>
            <w:r>
              <w:t xml:space="preserve"> с численностью населения:</w:t>
            </w:r>
            <w:r>
              <w:br/>
              <w:t>более 1000 человек – объект общественного питания с учетом всех форм собственности;</w:t>
            </w:r>
            <w:r>
              <w:br/>
              <w:t>до 1000 человек – при отсутствии объекта общественного питания реализация продукции общественного питания через продовольственные магазины.</w:t>
            </w:r>
            <w:r>
              <w:br/>
              <w:t>Программа деятельности Правительства Республики Беларусь на 2011–2015 годы.</w:t>
            </w:r>
            <w:r>
              <w:br/>
              <w:t>Выполнение норматива обеспечивается до конца 2015 года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по республике в целом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40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45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в районах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22 места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41</w:t>
            </w:r>
            <w:r>
              <w:rPr>
                <w:vertAlign w:val="superscript"/>
              </w:rPr>
              <w:t>1</w:t>
            </w:r>
            <w:r>
              <w:t>. Норматив обеспеченности работников организаций объектами общественного питания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при численности работающих в максимальную смену более 200 человек (без учета работников, работа которых носит разъездной характер) – объект </w:t>
            </w:r>
            <w:r>
              <w:lastRenderedPageBreak/>
              <w:t>общественного питания или организация питания работников в объектах общественного питания шаговой доступности или выездного обслуживания организациями, специализирующимися на оказании услуг общественного питания</w:t>
            </w:r>
          </w:p>
          <w:p w:rsidR="00B25A49" w:rsidRDefault="00B25A49">
            <w:pPr>
              <w:pStyle w:val="table10"/>
              <w:spacing w:before="120"/>
            </w:pPr>
            <w:proofErr w:type="gramStart"/>
            <w:r>
              <w:t>при численности работающих в максимальную смену менее 200 человек – применение различных форм организации питания (доставка питания по заказам работников, организация питания работников в объектах общественного питания шаговой доступности и (или) выездного обслуживания организациями, специализирующимися на оказании таких услуг, а также применение других форм обслуживания, в том числе оборудование помещений для приема пищи)</w:t>
            </w:r>
            <w:proofErr w:type="gramEnd"/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ТКП 45-3.02-209-2010 (02250)</w:t>
            </w:r>
            <w:r>
              <w:br/>
              <w:t xml:space="preserve">«Административные и бытовые здания. Строительные нормы проектирования». Объекты общественного питания с учетом их возможностей могут использоваться группой организаций (по месту </w:t>
            </w:r>
            <w:r>
              <w:lastRenderedPageBreak/>
              <w:t>осуществления деятельности)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Pr="00F5133A" w:rsidRDefault="00B25A49">
            <w:pPr>
              <w:pStyle w:val="table10"/>
              <w:spacing w:before="120"/>
              <w:rPr>
                <w:highlight w:val="yellow"/>
              </w:rPr>
            </w:pPr>
            <w:r w:rsidRPr="00F5133A">
              <w:rPr>
                <w:highlight w:val="yellow"/>
              </w:rPr>
              <w:lastRenderedPageBreak/>
              <w:t>42. Норматив обеспеченности населения в сельской местности бытовыми услугами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Pr="00F5133A" w:rsidRDefault="00B25A49">
            <w:pPr>
              <w:pStyle w:val="table10"/>
              <w:spacing w:before="120"/>
              <w:rPr>
                <w:highlight w:val="yellow"/>
              </w:rPr>
            </w:pPr>
            <w:r w:rsidRPr="00F5133A">
              <w:rPr>
                <w:highlight w:val="yellow"/>
              </w:rPr>
              <w:t xml:space="preserve">100 процентов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Pr="00F5133A" w:rsidRDefault="00B25A49">
            <w:pPr>
              <w:pStyle w:val="table10"/>
              <w:spacing w:before="120"/>
              <w:rPr>
                <w:highlight w:val="yellow"/>
              </w:rPr>
            </w:pPr>
            <w:r w:rsidRPr="00F5133A">
              <w:rPr>
                <w:highlight w:val="yellow"/>
              </w:rPr>
              <w:t>предоставление по заявке, а также прием заказов в объектах бытового обслуживания и (или) посредством выездного обслуживания основных видов бытовых услуг: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ремонт швейных изделий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ремонт обуви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ремонт мебели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ремонт бытовых машин и приборов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ремонт и техническое обслуживание бытовой радиоэлектронной аппаратуры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услуги проката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услуги парикмахерских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proofErr w:type="spellStart"/>
            <w:r w:rsidRPr="00F5133A">
              <w:rPr>
                <w:highlight w:val="yellow"/>
              </w:rPr>
              <w:t>фотоуслуги</w:t>
            </w:r>
            <w:proofErr w:type="spellEnd"/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прием заказов в прачечную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прием заказов в химчистку</w:t>
            </w:r>
          </w:p>
          <w:p w:rsidR="00B25A49" w:rsidRPr="00F5133A" w:rsidRDefault="00B25A49">
            <w:pPr>
              <w:pStyle w:val="table10"/>
              <w:spacing w:before="120"/>
              <w:ind w:left="283"/>
              <w:rPr>
                <w:highlight w:val="yellow"/>
              </w:rPr>
            </w:pPr>
            <w:r w:rsidRPr="00F5133A">
              <w:rPr>
                <w:highlight w:val="yellow"/>
              </w:rPr>
              <w:t>изготовление ритуальных принадлежностей</w:t>
            </w:r>
          </w:p>
          <w:p w:rsidR="00B25A49" w:rsidRPr="00F5133A" w:rsidRDefault="00B25A49">
            <w:pPr>
              <w:pStyle w:val="table10"/>
              <w:spacing w:before="120"/>
              <w:rPr>
                <w:highlight w:val="yellow"/>
              </w:rPr>
            </w:pPr>
            <w:r w:rsidRPr="00F5133A">
              <w:rPr>
                <w:highlight w:val="yellow"/>
              </w:rPr>
              <w:t>форма бытового обслуживания каждого сельского населенного пункта определяется решениями местных исполнительных и распорядительных органов. График обслуживания должен быть доведен до сведения населения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 w:rsidRPr="00F5133A">
              <w:rPr>
                <w:highlight w:val="yellow"/>
              </w:rPr>
              <w:t>43.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lastRenderedPageBreak/>
              <w:t>44.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норматив включает средства, направляемые на обеспечение работы организаций физической культуры и спорта в соответствии с бюджетной классификацией расходов на физическую культуру и спорт, и обеспечивает в том числе: 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44.1. расходов бюджета на физическую культуру и спорт в расчете на одного жителя по бюджетам: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не менее 0,5 базовой величины на 1 жителя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B25A49" w:rsidRDefault="00B25A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 xml:space="preserve">областей и 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проведение областных, городских и районных спортивных мероприятий (соревнований и учебно-тренировочных сборов по подготовке к ним) по физкультурно-массовой и оздоровительной работе;</w:t>
            </w:r>
            <w:r>
              <w:br/>
              <w:t>содержание специализированных учебно-спортивных учреждений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  <w:ind w:left="284"/>
            </w:pPr>
            <w:r>
              <w:t>в городах и районах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proofErr w:type="gramStart"/>
            <w:r>
              <w:t>содержание областных, Минского городского центров, физкультурно-спортивных клубов (комбинатов, комплексов);</w:t>
            </w:r>
            <w:r>
              <w:br/>
              <w:t>содержание спортивных сооружений;</w:t>
            </w:r>
            <w:r>
              <w:br/>
              <w:t>частичное финансирование клубов по виду (видам) спорта.</w:t>
            </w:r>
            <w:proofErr w:type="gramEnd"/>
            <w:r>
              <w:br/>
              <w:t>Закон Республики Беларусь «О физической культуре и спорте»</w:t>
            </w:r>
          </w:p>
        </w:tc>
      </w:tr>
      <w:tr w:rsidR="00B25A49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44.2. </w:t>
            </w:r>
            <w:proofErr w:type="spellStart"/>
            <w:r>
              <w:t>агрогородков</w:t>
            </w:r>
            <w:proofErr w:type="spellEnd"/>
            <w: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proofErr w:type="gramStart"/>
            <w:r>
              <w:t>не менее одного спортивного сооружения (спортивная площадка, футбольное поле, спортивный зал (помещение для занятий физическими упражнениями и спортом)</w:t>
            </w:r>
            <w:proofErr w:type="gramEnd"/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A49" w:rsidRDefault="00B25A49">
            <w:pPr>
              <w:pStyle w:val="table10"/>
              <w:spacing w:before="120"/>
            </w:pPr>
            <w:r>
              <w:t xml:space="preserve">стандарт разработан на основании </w:t>
            </w:r>
            <w:proofErr w:type="spellStart"/>
            <w:r>
              <w:t>СНиП</w:t>
            </w:r>
            <w:proofErr w:type="spellEnd"/>
            <w:r>
              <w:t xml:space="preserve"> 2.08.02-89 «Общественные здания и сооружения», пособия П-2-2000 «Проектирование спортивных и физкультурно-оздоровительных зданий, сооружений и помещений» к </w:t>
            </w:r>
            <w:proofErr w:type="spellStart"/>
            <w:r>
              <w:t>СНиП</w:t>
            </w:r>
            <w:proofErr w:type="spellEnd"/>
            <w:r>
              <w:t xml:space="preserve"> 2.08.02-89, конкретизирующих применение данных </w:t>
            </w:r>
            <w:proofErr w:type="spellStart"/>
            <w:r>
              <w:t>СНиП</w:t>
            </w:r>
            <w:proofErr w:type="spellEnd"/>
            <w:r>
              <w:t xml:space="preserve">. Наличие указанных спортивных сооружений в </w:t>
            </w:r>
            <w:proofErr w:type="spellStart"/>
            <w:r>
              <w:t>агрогородках</w:t>
            </w:r>
            <w:proofErr w:type="spellEnd"/>
            <w:r>
              <w:t xml:space="preserve"> позволит создать условия для удовлетворения потребности сельского населения в занятиях физическими упражнениями и спортом. </w:t>
            </w:r>
          </w:p>
        </w:tc>
      </w:tr>
    </w:tbl>
    <w:p w:rsidR="00B25A49" w:rsidRDefault="00B25A49">
      <w:pPr>
        <w:pStyle w:val="newncpi"/>
      </w:pPr>
      <w:r>
        <w:t> </w:t>
      </w:r>
    </w:p>
    <w:p w:rsidR="006B4316" w:rsidRDefault="006B4316"/>
    <w:sectPr w:rsidR="006B4316" w:rsidSect="00B25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40" w:rsidRDefault="00BF7040" w:rsidP="00B25A49">
      <w:pPr>
        <w:spacing w:after="0" w:line="240" w:lineRule="auto"/>
      </w:pPr>
      <w:r>
        <w:separator/>
      </w:r>
    </w:p>
  </w:endnote>
  <w:endnote w:type="continuationSeparator" w:id="0">
    <w:p w:rsidR="00BF7040" w:rsidRDefault="00BF7040" w:rsidP="00B2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49" w:rsidRDefault="00B25A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49" w:rsidRDefault="00B25A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B25A49" w:rsidTr="00B25A49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25A49" w:rsidRDefault="00B25A4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25A49" w:rsidRPr="00B25A49" w:rsidRDefault="00B25A4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25A49" w:rsidRPr="00B25A49" w:rsidRDefault="00B25A49" w:rsidP="00B25A4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28.09.2017</w:t>
          </w:r>
        </w:p>
      </w:tc>
    </w:tr>
    <w:tr w:rsidR="00B25A49" w:rsidTr="00B25A49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25A49" w:rsidRDefault="00B25A49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25A49" w:rsidRPr="00B25A49" w:rsidRDefault="00B25A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25A49" w:rsidRDefault="00B25A49">
          <w:pPr>
            <w:pStyle w:val="a5"/>
          </w:pPr>
        </w:p>
      </w:tc>
    </w:tr>
  </w:tbl>
  <w:p w:rsidR="00B25A49" w:rsidRDefault="00B25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40" w:rsidRDefault="00BF7040" w:rsidP="00B25A49">
      <w:pPr>
        <w:spacing w:after="0" w:line="240" w:lineRule="auto"/>
      </w:pPr>
      <w:r>
        <w:separator/>
      </w:r>
    </w:p>
  </w:footnote>
  <w:footnote w:type="continuationSeparator" w:id="0">
    <w:p w:rsidR="00BF7040" w:rsidRDefault="00BF7040" w:rsidP="00B2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49" w:rsidRDefault="00B25A49" w:rsidP="003E5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A49" w:rsidRDefault="00B25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49" w:rsidRPr="00B25A49" w:rsidRDefault="00B25A49" w:rsidP="003E5D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25A49">
      <w:rPr>
        <w:rStyle w:val="a7"/>
        <w:rFonts w:ascii="Times New Roman" w:hAnsi="Times New Roman" w:cs="Times New Roman"/>
        <w:sz w:val="24"/>
      </w:rPr>
      <w:fldChar w:fldCharType="begin"/>
    </w:r>
    <w:r w:rsidRPr="00B25A4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25A49">
      <w:rPr>
        <w:rStyle w:val="a7"/>
        <w:rFonts w:ascii="Times New Roman" w:hAnsi="Times New Roman" w:cs="Times New Roman"/>
        <w:sz w:val="24"/>
      </w:rPr>
      <w:fldChar w:fldCharType="separate"/>
    </w:r>
    <w:r w:rsidR="00F5133A">
      <w:rPr>
        <w:rStyle w:val="a7"/>
        <w:rFonts w:ascii="Times New Roman" w:hAnsi="Times New Roman" w:cs="Times New Roman"/>
        <w:noProof/>
        <w:sz w:val="24"/>
      </w:rPr>
      <w:t>12</w:t>
    </w:r>
    <w:r w:rsidRPr="00B25A49">
      <w:rPr>
        <w:rStyle w:val="a7"/>
        <w:rFonts w:ascii="Times New Roman" w:hAnsi="Times New Roman" w:cs="Times New Roman"/>
        <w:sz w:val="24"/>
      </w:rPr>
      <w:fldChar w:fldCharType="end"/>
    </w:r>
  </w:p>
  <w:p w:rsidR="00B25A49" w:rsidRPr="00B25A49" w:rsidRDefault="00B25A4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49" w:rsidRDefault="00B25A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49"/>
    <w:rsid w:val="000269DE"/>
    <w:rsid w:val="00062929"/>
    <w:rsid w:val="00066815"/>
    <w:rsid w:val="00082EF1"/>
    <w:rsid w:val="00201A75"/>
    <w:rsid w:val="00353485"/>
    <w:rsid w:val="003765A7"/>
    <w:rsid w:val="00482DDC"/>
    <w:rsid w:val="004E58F3"/>
    <w:rsid w:val="00542A94"/>
    <w:rsid w:val="0056150C"/>
    <w:rsid w:val="005A4E5E"/>
    <w:rsid w:val="00692AF7"/>
    <w:rsid w:val="006B4316"/>
    <w:rsid w:val="007D7EF2"/>
    <w:rsid w:val="00802123"/>
    <w:rsid w:val="008E7E7F"/>
    <w:rsid w:val="00901C9D"/>
    <w:rsid w:val="009366D2"/>
    <w:rsid w:val="00987BD7"/>
    <w:rsid w:val="009E70FA"/>
    <w:rsid w:val="00B25A49"/>
    <w:rsid w:val="00B5052F"/>
    <w:rsid w:val="00B73DFF"/>
    <w:rsid w:val="00BF7040"/>
    <w:rsid w:val="00CC5F99"/>
    <w:rsid w:val="00DC359F"/>
    <w:rsid w:val="00E46360"/>
    <w:rsid w:val="00EE0E61"/>
    <w:rsid w:val="00F2763B"/>
    <w:rsid w:val="00F5133A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5A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25A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25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5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5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5A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25A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5A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25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5A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5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5A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5A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5A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5A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5A4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25A49"/>
    <w:rPr>
      <w:rFonts w:ascii="Symbol" w:hAnsi="Symbol" w:hint="default"/>
    </w:rPr>
  </w:style>
  <w:style w:type="character" w:customStyle="1" w:styleId="post">
    <w:name w:val="post"/>
    <w:basedOn w:val="a0"/>
    <w:rsid w:val="00B25A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5A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2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A49"/>
  </w:style>
  <w:style w:type="paragraph" w:styleId="a5">
    <w:name w:val="footer"/>
    <w:basedOn w:val="a"/>
    <w:link w:val="a6"/>
    <w:uiPriority w:val="99"/>
    <w:semiHidden/>
    <w:unhideWhenUsed/>
    <w:rsid w:val="00B2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A49"/>
  </w:style>
  <w:style w:type="character" w:styleId="a7">
    <w:name w:val="page number"/>
    <w:basedOn w:val="a0"/>
    <w:uiPriority w:val="99"/>
    <w:semiHidden/>
    <w:unhideWhenUsed/>
    <w:rsid w:val="00B25A49"/>
  </w:style>
  <w:style w:type="table" w:styleId="a8">
    <w:name w:val="Table Grid"/>
    <w:basedOn w:val="a1"/>
    <w:uiPriority w:val="59"/>
    <w:rsid w:val="00B2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3976</Words>
  <Characters>28033</Characters>
  <Application>Microsoft Office Word</Application>
  <DocSecurity>0</DocSecurity>
  <Lines>1078</Lines>
  <Paragraphs>326</Paragraphs>
  <ScaleCrop>false</ScaleCrop>
  <Company/>
  <LinksUpToDate>false</LinksUpToDate>
  <CharactersWithSpaces>31683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2017-09-28T06:15:00Z</dcterms:created>
  <dcterms:modified xsi:type="dcterms:W3CDTF">2017-09-28T06:16:00Z</dcterms:modified>
</cp:coreProperties>
</file>